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eastAsia="方正小标宋简体"/>
          <w:sz w:val="44"/>
          <w:szCs w:val="44"/>
        </w:rPr>
        <w:t>国家中医优势专科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建设</w:t>
      </w:r>
      <w:r>
        <w:rPr>
          <w:rFonts w:hint="eastAsia" w:ascii="方正小标宋简体" w:eastAsia="方正小标宋简体"/>
          <w:sz w:val="44"/>
          <w:szCs w:val="44"/>
        </w:rPr>
        <w:t>项目</w:t>
      </w:r>
      <w:r>
        <w:rPr>
          <w:rFonts w:hint="eastAsia" w:ascii="方正小标宋简体" w:hAnsi="Arial" w:eastAsia="方正小标宋简体" w:cs="Arial"/>
          <w:sz w:val="40"/>
          <w:szCs w:val="40"/>
        </w:rPr>
        <w:t>自评总结报告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（一）</w:t>
      </w:r>
      <w:r>
        <w:rPr>
          <w:rFonts w:hint="eastAsia" w:ascii="仿宋_GB2312"/>
          <w:sz w:val="32"/>
          <w:szCs w:val="32"/>
          <w:lang w:val="en-US" w:eastAsia="zh-CN"/>
        </w:rPr>
        <w:t>整体预算执行情况：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项目总资金236万元，目前执行206.498382万元，执行率87.</w:t>
      </w:r>
      <w:r>
        <w:rPr>
          <w:rFonts w:hint="eastAsia" w:ascii="仿宋_GB2312"/>
          <w:sz w:val="32"/>
          <w:szCs w:val="32"/>
          <w:lang w:val="en-US" w:eastAsia="zh-CN"/>
        </w:rPr>
        <w:t>5</w:t>
      </w:r>
      <w:r>
        <w:rPr>
          <w:rFonts w:hint="eastAsia" w:ascii="仿宋_GB2312"/>
          <w:sz w:val="32"/>
          <w:szCs w:val="32"/>
        </w:rPr>
        <w:t>%。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（二）</w:t>
      </w:r>
      <w:r>
        <w:rPr>
          <w:rFonts w:hint="eastAsia" w:ascii="仿宋_GB2312"/>
          <w:sz w:val="32"/>
          <w:szCs w:val="32"/>
          <w:lang w:val="en-US" w:eastAsia="zh-CN"/>
        </w:rPr>
        <w:t>项目构成情况</w:t>
      </w:r>
      <w:r>
        <w:rPr>
          <w:rFonts w:hint="eastAsia" w:ascii="仿宋_GB2312"/>
          <w:sz w:val="32"/>
          <w:szCs w:val="32"/>
        </w:rPr>
        <w:t>（元）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1.购置投影仪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6998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2.购置葫芦灸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6900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3.购置多功能护理车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16000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4.购置数字化多通道心电图机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12900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5.购置病床、床头柜、屏风、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83850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6.购置沙发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13300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7.购置茶瓶、摆药签、整理箱：11060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8.购置沙发罩、床帏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31840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9.购置实木方凳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1650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10.制作“十四五”业务体系展板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548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11.制作21.5*38亚克力门牌4个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400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12.制作15米条幅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90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13.查新费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1100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14.购置握力器、卷尺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210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15.参加中华医学会糖尿病分会2023年肥胖与糖尿病学术会议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8246.32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16.参加中医药科普标准知识库发布会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1538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17.参加中华医学会糖尿病分会2023年教育管理学术会议4500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18.MMC设备信息化建设项目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192000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19.购置眼部超声雾化治疗仪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124000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20.购置经颅磁电疗仪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120000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21.购置胰岛素泵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150000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22.购置子午流注治疗仪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298000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23.论文版面费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3900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24.购置低频电子脉冲膀胱治疗仪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129700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25.购置温热中低频治疗仪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36000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26.购置空气压力波循环治疗仪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44500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27.购置熏洗室靠垫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1020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28.购置膳食模型及展板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57000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29.论文版面费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2900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30.进修及交通费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40756.5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31.购置实木凳子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1650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32.购置沙发套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1280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33.论文版面费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3884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34.参加慢病高峰论坛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4784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35.论文版面费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2200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36.与河南大学技术开发费用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200000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37.购置中医定向透药治疗仪 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50000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38.购置更衣柜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3945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39.购置心理沙盘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10280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40.购置葫芦灸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9900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41.购置中医智能辅助传承系统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28500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42.购置轮椅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4800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43.购置动感单车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22400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44.购置除颤仪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65000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45.购置心电监护仪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150000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46.中医治疗室烟道改造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19600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47.参加第六期全国消融治疗技术培训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5600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48.参加第三届中医药科创大会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4313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49.继教项目讲课费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2800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50.参加中医体质分会年会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4878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51.论文版面费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3000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52.进修交通费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1458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53.进修交通费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1458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54.参加2023科技进步奖工作会议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7498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55.购置多导联心电分析系统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21000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56.自制药原材料草药费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17978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57.参加世中联中医临床思维年会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7317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58.参加中华医学会糖尿病大会费用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2187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59.参加中华医学会糖尿病大会费用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2193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60.参加中华医学会糖尿病大会费用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2187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61.参加中华医学会糖尿病大会费用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1987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    上述费用共计206.498382万元。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eastAsia="zh-CN"/>
        </w:rPr>
        <w:t>（</w:t>
      </w:r>
      <w:r>
        <w:rPr>
          <w:rFonts w:hint="eastAsia" w:ascii="仿宋_GB2312"/>
          <w:sz w:val="32"/>
          <w:szCs w:val="32"/>
          <w:lang w:val="en-US" w:eastAsia="zh-CN"/>
        </w:rPr>
        <w:t>三</w:t>
      </w:r>
      <w:r>
        <w:rPr>
          <w:rFonts w:hint="eastAsia" w:ascii="仿宋_GB2312"/>
          <w:sz w:val="32"/>
          <w:szCs w:val="32"/>
          <w:lang w:eastAsia="zh-CN"/>
        </w:rPr>
        <w:t>）</w:t>
      </w:r>
      <w:r>
        <w:rPr>
          <w:rFonts w:hint="eastAsia" w:ascii="仿宋_GB2312"/>
          <w:sz w:val="32"/>
          <w:szCs w:val="32"/>
          <w:lang w:val="en-US" w:eastAsia="zh-CN"/>
        </w:rPr>
        <w:t>绩效目标批复情况</w:t>
      </w:r>
    </w:p>
    <w:p>
      <w:pPr>
        <w:ind w:firstLine="640" w:firstLineChars="200"/>
        <w:outlineLvl w:val="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default" w:ascii="仿宋_GB2312"/>
          <w:sz w:val="32"/>
          <w:szCs w:val="32"/>
          <w:lang w:val="en-US" w:eastAsia="zh-CN"/>
        </w:rPr>
        <w:t>根据《中医药发展战略规划纲要（2016—2030年）》《中医药发展“十三五”规划》等重点任务要求，完善中医专科专病防治体系，科学划分重点专科层次，充分发挥重点专科的辐射和带动作用，发挥中心的中医特色优势资源，提高区域重大疾病诊疗和疑难危重病症救治能力</w:t>
      </w:r>
      <w:r>
        <w:rPr>
          <w:rFonts w:hint="eastAsia" w:ascii="仿宋_GB2312"/>
          <w:sz w:val="32"/>
          <w:szCs w:val="32"/>
          <w:lang w:val="en-US" w:eastAsia="zh-CN"/>
        </w:rPr>
        <w:t>。根据建设任务及总体预算制定绩效目标，该绩效目标已得到医院批复。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firstLine="640" w:firstLineChars="200"/>
        <w:outlineLvl w:val="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eastAsia="zh-CN"/>
        </w:rPr>
        <w:t>（</w:t>
      </w:r>
      <w:r>
        <w:rPr>
          <w:rFonts w:hint="eastAsia" w:ascii="仿宋_GB2312"/>
          <w:sz w:val="32"/>
          <w:szCs w:val="32"/>
          <w:lang w:val="en-US" w:eastAsia="zh-CN"/>
        </w:rPr>
        <w:t>一</w:t>
      </w:r>
      <w:r>
        <w:rPr>
          <w:rFonts w:hint="eastAsia" w:ascii="仿宋_GB2312"/>
          <w:sz w:val="32"/>
          <w:szCs w:val="32"/>
          <w:lang w:eastAsia="zh-CN"/>
        </w:rPr>
        <w:t>）</w:t>
      </w:r>
      <w:r>
        <w:rPr>
          <w:rFonts w:hint="eastAsia" w:ascii="仿宋_GB2312"/>
          <w:sz w:val="32"/>
          <w:szCs w:val="32"/>
          <w:lang w:val="en-US" w:eastAsia="zh-CN"/>
        </w:rPr>
        <w:t>自评覆盖情况：围绕国家优势中医专科建设内容开展自评工作。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default" w:ascii="仿宋_GB2312"/>
          <w:sz w:val="32"/>
          <w:szCs w:val="32"/>
        </w:rPr>
        <w:t>1.评价</w:t>
      </w:r>
      <w:r>
        <w:rPr>
          <w:rFonts w:hint="eastAsia" w:ascii="仿宋_GB2312"/>
          <w:sz w:val="32"/>
          <w:szCs w:val="32"/>
        </w:rPr>
        <w:t>专科设备配备。围绕改善中医优势专科设施条件和诊疗环境，优化科室功能布局，强化专科设备配备，特别是专科中医特色诊疗设备配备。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default" w:ascii="仿宋_GB2312"/>
          <w:sz w:val="32"/>
          <w:szCs w:val="32"/>
        </w:rPr>
        <w:t>2.评价</w:t>
      </w:r>
      <w:r>
        <w:rPr>
          <w:rFonts w:hint="eastAsia" w:ascii="仿宋_GB2312"/>
          <w:sz w:val="32"/>
          <w:szCs w:val="32"/>
        </w:rPr>
        <w:t>中医诊疗能力。围绕提高临床疗效，梳理总结中医优势病种诊疗经验，不断优化完善中医诊疗方案，开展专科中医技术方法创新和特色中药制剂开发应用，增强应用中医药技术方法诊治急危重症及疑难病例的能力。在巩固专科优势的基础上，逐步扩大专科收治病种的范围，增强专科综合服务能力和水平。围绕主要临床问题开展科研创新，并将成果应用于临床，注重疗效评价总结，提高临床诊疗水平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cs="Times New Roman"/>
          <w:kern w:val="2"/>
          <w:sz w:val="32"/>
          <w:szCs w:val="32"/>
          <w:lang w:eastAsia="zh-CN" w:bidi="ar-SA"/>
        </w:rPr>
        <w:t>3.评价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中医特色人才培养。通过师承、人才引进、进修、培训、学术交流等形式，加强专科团队建设，传承名老中医临床经验和特色诊疗技术方法，培养一批中医思维牢、实践能力强中医临床疗效好的技术骨干，逐步打造形成中医理论功底深厚临床业务能力突出、创新能力较强的专科人才队伍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cs="Times New Roman"/>
          <w:kern w:val="2"/>
          <w:sz w:val="32"/>
          <w:szCs w:val="32"/>
          <w:lang w:eastAsia="zh-CN" w:bidi="ar-SA"/>
        </w:rPr>
        <w:t>4.评价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技术指导</w:t>
      </w:r>
      <w:r>
        <w:rPr>
          <w:rFonts w:hint="default" w:ascii="仿宋_GB2312" w:cs="Times New Roman"/>
          <w:kern w:val="2"/>
          <w:sz w:val="32"/>
          <w:szCs w:val="32"/>
          <w:lang w:eastAsia="zh-CN" w:bidi="ar-SA"/>
        </w:rPr>
        <w:t>及辐射能力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。发挥辐射带动作用，以医联体或专科联盟等为平台，加强对区域内其他医疗机构同专业中医专科的指导，推广中医诊疗方案、特色技术、名老中医学术思想和临床经验等，促进中医药优质资源下沉扩容，提升区域内整体中医专科诊疗能力。</w:t>
      </w:r>
    </w:p>
    <w:p>
      <w:pPr>
        <w:ind w:firstLine="640" w:firstLineChars="200"/>
        <w:outlineLvl w:val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eastAsia="zh-CN"/>
        </w:rPr>
        <w:t>（</w:t>
      </w:r>
      <w:r>
        <w:rPr>
          <w:rFonts w:hint="eastAsia" w:ascii="仿宋_GB2312"/>
          <w:sz w:val="32"/>
          <w:szCs w:val="32"/>
          <w:lang w:val="en-US" w:eastAsia="zh-CN"/>
        </w:rPr>
        <w:t>二</w:t>
      </w:r>
      <w:r>
        <w:rPr>
          <w:rFonts w:hint="eastAsia" w:ascii="仿宋_GB2312"/>
          <w:sz w:val="32"/>
          <w:szCs w:val="32"/>
          <w:lang w:eastAsia="zh-CN"/>
        </w:rPr>
        <w:t>）</w:t>
      </w:r>
      <w:r>
        <w:rPr>
          <w:rFonts w:hint="eastAsia" w:ascii="仿宋_GB2312"/>
          <w:sz w:val="32"/>
          <w:szCs w:val="32"/>
          <w:lang w:val="en-US" w:eastAsia="zh-CN"/>
        </w:rPr>
        <w:t>组织开展程序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评价方法为根据预算通过自查数据进行总结。采取打分的形式，满分为100分，根据指标的重要程度确定各项三级指标的权重分值，各项指标得分加总得出该项目绩效自评的总分。一级指标分值设置为:成本指标10分，产出指标30分、效益指标25分、服务对象满意度5分、预算资金执行率10分，资金管理20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（一）自评结果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预算资金执行率得分</w:t>
      </w:r>
      <w:r>
        <w:rPr>
          <w:rFonts w:hint="eastAsia" w:ascii="仿宋_GB2312"/>
          <w:sz w:val="32"/>
          <w:szCs w:val="32"/>
          <w:lang w:val="en-US" w:eastAsia="zh-CN"/>
        </w:rPr>
        <w:t>8.8</w:t>
      </w:r>
      <w:r>
        <w:rPr>
          <w:rFonts w:hint="eastAsia" w:ascii="仿宋_GB2312"/>
          <w:sz w:val="32"/>
          <w:szCs w:val="32"/>
        </w:rPr>
        <w:t>分，资金管理</w:t>
      </w:r>
      <w:r>
        <w:rPr>
          <w:rFonts w:hint="eastAsia" w:ascii="仿宋_GB2312"/>
          <w:sz w:val="32"/>
          <w:szCs w:val="32"/>
          <w:lang w:val="en-US" w:eastAsia="zh-CN"/>
        </w:rPr>
        <w:t>20</w:t>
      </w:r>
      <w:r>
        <w:rPr>
          <w:rFonts w:hint="eastAsia" w:ascii="仿宋_GB2312"/>
          <w:sz w:val="32"/>
          <w:szCs w:val="32"/>
        </w:rPr>
        <w:t>分，成本指标得</w:t>
      </w:r>
      <w:r>
        <w:rPr>
          <w:rFonts w:hint="eastAsia" w:ascii="仿宋_GB2312"/>
          <w:sz w:val="32"/>
          <w:szCs w:val="32"/>
          <w:lang w:val="en-US" w:eastAsia="zh-CN"/>
        </w:rPr>
        <w:t>9.5</w:t>
      </w:r>
      <w:r>
        <w:rPr>
          <w:rFonts w:hint="eastAsia" w:ascii="仿宋_GB2312"/>
          <w:sz w:val="32"/>
          <w:szCs w:val="32"/>
        </w:rPr>
        <w:t>分，产出指标得</w:t>
      </w:r>
      <w:r>
        <w:rPr>
          <w:rFonts w:hint="eastAsia" w:ascii="仿宋_GB2312"/>
          <w:sz w:val="32"/>
          <w:szCs w:val="32"/>
          <w:lang w:val="en-US" w:eastAsia="zh-CN"/>
        </w:rPr>
        <w:t>30</w:t>
      </w:r>
      <w:r>
        <w:rPr>
          <w:rFonts w:hint="eastAsia" w:ascii="仿宋_GB2312"/>
          <w:sz w:val="32"/>
          <w:szCs w:val="32"/>
        </w:rPr>
        <w:t>分，效益指标得分2</w:t>
      </w:r>
      <w:r>
        <w:rPr>
          <w:rFonts w:hint="eastAsia" w:ascii="仿宋_GB2312"/>
          <w:sz w:val="32"/>
          <w:szCs w:val="32"/>
          <w:lang w:val="en-US" w:eastAsia="zh-CN"/>
        </w:rPr>
        <w:t>5</w:t>
      </w:r>
      <w:r>
        <w:rPr>
          <w:rFonts w:hint="eastAsia" w:ascii="仿宋_GB2312"/>
          <w:sz w:val="32"/>
          <w:szCs w:val="32"/>
        </w:rPr>
        <w:t>分，服务对象满意度得分5分，共得分</w:t>
      </w:r>
      <w:r>
        <w:rPr>
          <w:rFonts w:hint="eastAsia" w:ascii="仿宋_GB2312"/>
          <w:sz w:val="32"/>
          <w:szCs w:val="32"/>
          <w:lang w:val="en-US" w:eastAsia="zh-CN"/>
        </w:rPr>
        <w:t>97.25</w:t>
      </w:r>
      <w:r>
        <w:rPr>
          <w:rFonts w:hint="eastAsia" w:ascii="仿宋_GB2312"/>
          <w:sz w:val="32"/>
          <w:szCs w:val="32"/>
        </w:rPr>
        <w:t>分。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1.项目总资金236万元，目前执行206.498382万元，执行率87.</w:t>
      </w:r>
      <w:r>
        <w:rPr>
          <w:rFonts w:hint="eastAsia" w:ascii="仿宋_GB2312"/>
          <w:sz w:val="32"/>
          <w:szCs w:val="32"/>
          <w:lang w:val="en-US" w:eastAsia="zh-CN"/>
        </w:rPr>
        <w:t>5</w:t>
      </w:r>
      <w:r>
        <w:rPr>
          <w:rFonts w:hint="eastAsia" w:ascii="仿宋_GB2312"/>
          <w:sz w:val="32"/>
          <w:szCs w:val="32"/>
        </w:rPr>
        <w:t>%。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2.资金安排科学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资金使用规范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  <w:lang w:val="en-US" w:eastAsia="zh-CN"/>
        </w:rPr>
        <w:t>资金拨付到位，</w:t>
      </w:r>
      <w:r>
        <w:rPr>
          <w:rFonts w:hint="eastAsia" w:ascii="仿宋_GB2312"/>
          <w:sz w:val="32"/>
          <w:szCs w:val="32"/>
        </w:rPr>
        <w:t>绩效目标基本完成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得分</w:t>
      </w:r>
      <w:r>
        <w:rPr>
          <w:rFonts w:hint="eastAsia" w:ascii="仿宋_GB2312"/>
          <w:sz w:val="32"/>
          <w:szCs w:val="32"/>
          <w:lang w:val="en-US" w:eastAsia="zh-CN"/>
        </w:rPr>
        <w:t>20</w:t>
      </w:r>
      <w:r>
        <w:rPr>
          <w:rFonts w:hint="eastAsia" w:ascii="仿宋_GB2312"/>
          <w:sz w:val="32"/>
          <w:szCs w:val="32"/>
        </w:rPr>
        <w:t>分。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ab/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3.成本指标：设备购置149.8万元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内分泌功能检查室信息化19.2万元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人才培养9.486万元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科研课题协作费用20万元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  <w:lang w:val="en-US" w:eastAsia="zh-CN"/>
        </w:rPr>
        <w:t>总得分9.5</w:t>
      </w:r>
      <w:r>
        <w:rPr>
          <w:rFonts w:hint="eastAsia" w:ascii="仿宋_GB2312"/>
          <w:sz w:val="32"/>
          <w:szCs w:val="32"/>
        </w:rPr>
        <w:t>分。</w:t>
      </w:r>
    </w:p>
    <w:p>
      <w:pPr>
        <w:ind w:firstLine="640" w:firstLineChars="200"/>
        <w:outlineLvl w:val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</w:rPr>
        <w:t>4.产出指标：设备购置51台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课题申报19项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学习培训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13人次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出版专著2部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发表论文15篇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人员进修</w:t>
      </w:r>
      <w:r>
        <w:rPr>
          <w:rFonts w:hint="eastAsia" w:ascii="仿宋_GB2312"/>
          <w:sz w:val="32"/>
          <w:szCs w:val="32"/>
        </w:rPr>
        <w:tab/>
      </w:r>
      <w:r>
        <w:rPr>
          <w:rFonts w:hint="eastAsia" w:ascii="仿宋_GB2312"/>
          <w:sz w:val="32"/>
          <w:szCs w:val="32"/>
        </w:rPr>
        <w:t>11人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设备验收合格率100%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  <w:lang w:val="en-US" w:eastAsia="zh-CN"/>
        </w:rPr>
        <w:t>科技成果2项，</w:t>
      </w:r>
      <w:r>
        <w:rPr>
          <w:rFonts w:hint="eastAsia" w:ascii="仿宋_GB2312"/>
          <w:sz w:val="32"/>
          <w:szCs w:val="32"/>
        </w:rPr>
        <w:t>总得分</w:t>
      </w:r>
      <w:r>
        <w:rPr>
          <w:rFonts w:hint="eastAsia" w:ascii="仿宋_GB2312"/>
          <w:sz w:val="32"/>
          <w:szCs w:val="32"/>
          <w:lang w:val="en-US" w:eastAsia="zh-CN"/>
        </w:rPr>
        <w:t>30</w:t>
      </w:r>
      <w:r>
        <w:rPr>
          <w:rFonts w:hint="eastAsia" w:ascii="仿宋_GB2312"/>
          <w:sz w:val="32"/>
          <w:szCs w:val="32"/>
        </w:rPr>
        <w:t>分</w:t>
      </w:r>
      <w:r>
        <w:rPr>
          <w:rFonts w:hint="eastAsia" w:ascii="仿宋_GB2312"/>
          <w:sz w:val="32"/>
          <w:szCs w:val="32"/>
          <w:lang w:eastAsia="zh-CN"/>
        </w:rPr>
        <w:t>。</w:t>
      </w:r>
    </w:p>
    <w:p>
      <w:pPr>
        <w:ind w:firstLine="640" w:firstLineChars="200"/>
        <w:outlineLvl w:val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</w:rPr>
        <w:t>5.效益指标：团队建设明显完善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医疗服务能力明显提升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科研能力明显提升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总得分25分</w:t>
      </w:r>
    </w:p>
    <w:p>
      <w:pPr>
        <w:ind w:firstLine="640" w:firstLineChars="200"/>
        <w:outlineLvl w:val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</w:rPr>
        <w:t>6.满意度指标：患者调查满意度均达到90%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总得分5分</w:t>
      </w:r>
      <w:r>
        <w:rPr>
          <w:rFonts w:hint="eastAsia" w:ascii="仿宋_GB2312"/>
          <w:sz w:val="32"/>
          <w:szCs w:val="32"/>
          <w:lang w:eastAsia="zh-CN"/>
        </w:rPr>
        <w:t>。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（二）偏差</w:t>
      </w:r>
      <w:r>
        <w:rPr>
          <w:rFonts w:ascii="仿宋_GB2312"/>
          <w:sz w:val="32"/>
          <w:szCs w:val="32"/>
        </w:rPr>
        <w:t>较大项目说明</w:t>
      </w:r>
    </w:p>
    <w:p>
      <w:pPr>
        <w:ind w:firstLine="640" w:firstLineChars="200"/>
        <w:outlineLvl w:val="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项目专项经费拨付缓慢，导致部分经费无法按时完成报销流程。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设备招标控价导致与预算有偏差。论文、论著发表周期较长。</w:t>
      </w:r>
      <w:bookmarkStart w:id="0" w:name="_GoBack"/>
      <w:bookmarkEnd w:id="0"/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自评发现资金管理制度需要进一步完善，资金预算需要进一步细化，应加强项目督导，进一步明确绩效目标。</w:t>
      </w:r>
    </w:p>
    <w:p>
      <w:pPr>
        <w:ind w:firstLine="640" w:firstLineChars="200"/>
        <w:outlineLvl w:val="0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整改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措施：进一步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资金管理制度与预算方案，对项目预算落实情况进行专人督导，按月汇报工作进度，督促绩效目标落实。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ind w:firstLine="640" w:firstLineChars="200"/>
        <w:outlineLvl w:val="0"/>
      </w:pP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绩效自评工作的开展可以提高中医药项目资金使用效益，加大资金考核监管。区域中心建立专项制度，明确绩效目标，强化建设绩效评价，落实配套投入，以年度为时间节点,对实施不力、进展缓慢、结果产出与预期目标不符合的单位要求提交情况说明,并限期整改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</w:t>
      </w:r>
      <w:r>
        <w:rPr>
          <w:rFonts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tabs>
          <w:tab w:val="left" w:pos="620"/>
        </w:tabs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无。</w:t>
      </w: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AE4D029-968E-411E-88FC-D5B5B87E24C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F548CED-98D9-4755-93A5-EBACC7FA997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B2985AE5-8270-4556-AC5F-FDA7B58D649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221FABD6-7333-4FB1-8C48-4A2EDC3902B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50526B3F-8A42-41FB-8F35-17A80FBC82A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NotTrackMoves/>
  <w:documentProtection w:enforcement="0"/>
  <w:defaultTabStop w:val="420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NkNTZiNzNlMjMwY2I0YzJkMWJlNzNjNzZlNTY0NDc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6189A"/>
    <w:rsid w:val="00392027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5C623C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01454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6CE1DB6"/>
    <w:rsid w:val="07524CC5"/>
    <w:rsid w:val="0E195140"/>
    <w:rsid w:val="0E7B4B63"/>
    <w:rsid w:val="11F56D91"/>
    <w:rsid w:val="1384217A"/>
    <w:rsid w:val="18BA4890"/>
    <w:rsid w:val="19E40780"/>
    <w:rsid w:val="1A3C6C4F"/>
    <w:rsid w:val="1D8048F0"/>
    <w:rsid w:val="1E7D644E"/>
    <w:rsid w:val="213B5E42"/>
    <w:rsid w:val="28A349F9"/>
    <w:rsid w:val="2C2935DB"/>
    <w:rsid w:val="30027D86"/>
    <w:rsid w:val="314B20D2"/>
    <w:rsid w:val="332B6989"/>
    <w:rsid w:val="352A5EEF"/>
    <w:rsid w:val="44CD4E80"/>
    <w:rsid w:val="4A3809DD"/>
    <w:rsid w:val="4BA014AA"/>
    <w:rsid w:val="51971756"/>
    <w:rsid w:val="55275FF4"/>
    <w:rsid w:val="59CA2E41"/>
    <w:rsid w:val="68E51EE8"/>
    <w:rsid w:val="7A6C488F"/>
    <w:rsid w:val="FA7BC3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纯文本1"/>
    <w:basedOn w:val="1"/>
    <w:autoRedefine/>
    <w:qFormat/>
    <w:uiPriority w:val="0"/>
    <w:rPr>
      <w:rFonts w:ascii="宋体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5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页脚 Char"/>
    <w:link w:val="4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1">
    <w:name w:val="批注框文本 Char"/>
    <w:link w:val="3"/>
    <w:autoRedefine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50</Words>
  <Characters>285</Characters>
  <Lines>2</Lines>
  <Paragraphs>1</Paragraphs>
  <TotalTime>7</TotalTime>
  <ScaleCrop>false</ScaleCrop>
  <LinksUpToDate>false</LinksUpToDate>
  <CharactersWithSpaces>334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SCOTT</cp:lastModifiedBy>
  <cp:lastPrinted>2019-08-16T09:07:00Z</cp:lastPrinted>
  <dcterms:modified xsi:type="dcterms:W3CDTF">2024-05-20T03:28:47Z</dcterms:modified>
  <dc:title>财政支出绩效评价报告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A8AE866F45B74194B16F803065170A59_12</vt:lpwstr>
  </property>
</Properties>
</file>